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17" w:rsidRPr="00636C5D" w:rsidRDefault="00944EEC" w:rsidP="00E22F17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令和元年度　輪島市立鳳至小学校　後</w:t>
      </w:r>
      <w:r w:rsidR="00E22F17" w:rsidRPr="00636C5D">
        <w:rPr>
          <w:rFonts w:ascii="ＭＳ ゴシック" w:eastAsia="ＭＳ ゴシック" w:hAnsi="ＭＳ ゴシック" w:cs="Times New Roman" w:hint="eastAsia"/>
          <w:sz w:val="24"/>
          <w:szCs w:val="24"/>
        </w:rPr>
        <w:t>期 学力向上プラン</w:t>
      </w:r>
    </w:p>
    <w:p w:rsidR="00E22F17" w:rsidRPr="00636C5D" w:rsidRDefault="00E22F17" w:rsidP="00E22F17">
      <w:pPr>
        <w:jc w:val="center"/>
        <w:rPr>
          <w:rFonts w:ascii="ＭＳ ゴシック" w:eastAsia="ＭＳ ゴシック" w:hAnsi="ＭＳ ゴシック" w:cs="Times New Roman"/>
          <w:u w:val="thick"/>
        </w:rPr>
      </w:pPr>
      <w:r w:rsidRPr="00636C5D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1BC73" wp14:editId="38B77A7E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1073342" cy="372139"/>
                <wp:effectExtent l="0" t="0" r="12700" b="279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342" cy="3721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2F17" w:rsidRPr="007168C2" w:rsidRDefault="00E22F17" w:rsidP="00E22F17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7168C2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18"/>
                                <w:szCs w:val="18"/>
                              </w:rPr>
                              <w:t>12か条</w:t>
                            </w:r>
                            <w:r w:rsidRPr="007168C2">
                              <w:rPr>
                                <w:rFonts w:ascii="ＭＳ Ｐゴシック" w:eastAsia="ＭＳ Ｐゴシック" w:hAnsi="ＭＳ Ｐゴシック"/>
                                <w:i/>
                                <w:sz w:val="18"/>
                                <w:szCs w:val="18"/>
                              </w:rPr>
                              <w:t>＋（</w:t>
                            </w:r>
                            <w:r w:rsidRPr="007168C2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18"/>
                                <w:szCs w:val="18"/>
                              </w:rPr>
                              <w:t>プラス</w:t>
                            </w:r>
                            <w:r w:rsidRPr="007168C2">
                              <w:rPr>
                                <w:rFonts w:ascii="ＭＳ Ｐゴシック" w:eastAsia="ＭＳ Ｐゴシック" w:hAnsi="ＭＳ Ｐゴシック"/>
                                <w:i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22F17" w:rsidRPr="007168C2" w:rsidRDefault="00E22F17" w:rsidP="00E22F17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Cs w:val="21"/>
                              </w:rPr>
                              <w:t>６</w:t>
                            </w:r>
                            <w:r w:rsidRPr="007168C2">
                              <w:rPr>
                                <w:rFonts w:ascii="ＭＳ Ｐゴシック" w:eastAsia="ＭＳ Ｐゴシック" w:hAnsi="ＭＳ Ｐゴシック"/>
                                <w:i/>
                                <w:szCs w:val="21"/>
                              </w:rPr>
                              <w:t>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1BC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.3pt;margin-top:29.25pt;width:84.5pt;height:29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" fillcolor="window" strokeweight=".5pt">
                <v:textbox>
                  <w:txbxContent>
                    <w:p w:rsidR="00E22F17" w:rsidRPr="007168C2" w:rsidRDefault="00E22F17" w:rsidP="00E22F17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i/>
                          <w:sz w:val="18"/>
                          <w:szCs w:val="18"/>
                        </w:rPr>
                      </w:pPr>
                      <w:r w:rsidRPr="007168C2">
                        <w:rPr>
                          <w:rFonts w:ascii="ＭＳ Ｐゴシック" w:eastAsia="ＭＳ Ｐゴシック" w:hAnsi="ＭＳ Ｐゴシック" w:hint="eastAsia"/>
                          <w:i/>
                          <w:sz w:val="18"/>
                          <w:szCs w:val="18"/>
                        </w:rPr>
                        <w:t>12か条</w:t>
                      </w:r>
                      <w:r w:rsidRPr="007168C2">
                        <w:rPr>
                          <w:rFonts w:ascii="ＭＳ Ｐゴシック" w:eastAsia="ＭＳ Ｐゴシック" w:hAnsi="ＭＳ Ｐゴシック"/>
                          <w:i/>
                          <w:sz w:val="18"/>
                          <w:szCs w:val="18"/>
                        </w:rPr>
                        <w:t>＋（</w:t>
                      </w:r>
                      <w:r w:rsidRPr="007168C2">
                        <w:rPr>
                          <w:rFonts w:ascii="ＭＳ Ｐゴシック" w:eastAsia="ＭＳ Ｐゴシック" w:hAnsi="ＭＳ Ｐゴシック" w:hint="eastAsia"/>
                          <w:i/>
                          <w:sz w:val="18"/>
                          <w:szCs w:val="18"/>
                        </w:rPr>
                        <w:t>プラス</w:t>
                      </w:r>
                      <w:r w:rsidRPr="007168C2">
                        <w:rPr>
                          <w:rFonts w:ascii="ＭＳ Ｐゴシック" w:eastAsia="ＭＳ Ｐゴシック" w:hAnsi="ＭＳ Ｐゴシック"/>
                          <w:i/>
                          <w:sz w:val="18"/>
                          <w:szCs w:val="18"/>
                        </w:rPr>
                        <w:t>）</w:t>
                      </w:r>
                    </w:p>
                    <w:p w:rsidR="00E22F17" w:rsidRPr="007168C2" w:rsidRDefault="00E22F17" w:rsidP="00E22F17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i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i/>
                          <w:szCs w:val="21"/>
                        </w:rPr>
                        <w:t>６</w:t>
                      </w:r>
                      <w:r w:rsidRPr="007168C2">
                        <w:rPr>
                          <w:rFonts w:ascii="ＭＳ Ｐゴシック" w:eastAsia="ＭＳ Ｐゴシック" w:hAnsi="ＭＳ Ｐゴシック"/>
                          <w:i/>
                          <w:szCs w:val="21"/>
                        </w:rPr>
                        <w:t>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6C5D">
        <w:rPr>
          <w:rFonts w:ascii="ＭＳ ゴシック" w:eastAsia="ＭＳ ゴシック" w:hAnsi="ＭＳ ゴシック" w:cs="Times New Roman" w:hint="eastAsia"/>
          <w:sz w:val="28"/>
          <w:u w:val="thick"/>
        </w:rPr>
        <w:t>プラン名　互いに関わり合いながら集中力</w:t>
      </w:r>
      <w:r w:rsidR="00944EEC">
        <w:rPr>
          <w:rFonts w:ascii="ＭＳ ゴシック" w:eastAsia="ＭＳ ゴシック" w:hAnsi="ＭＳ ゴシック" w:cs="Times New Roman" w:hint="eastAsia"/>
          <w:sz w:val="28"/>
          <w:u w:val="thick"/>
        </w:rPr>
        <w:t>・持続力</w:t>
      </w:r>
      <w:r w:rsidRPr="00636C5D">
        <w:rPr>
          <w:rFonts w:ascii="ＭＳ ゴシック" w:eastAsia="ＭＳ ゴシック" w:hAnsi="ＭＳ ゴシック" w:cs="Times New Roman" w:hint="eastAsia"/>
          <w:sz w:val="28"/>
          <w:u w:val="thick"/>
        </w:rPr>
        <w:t>アップ！（７０％）</w:t>
      </w:r>
    </w:p>
    <w:p w:rsidR="00E22F17" w:rsidRPr="00636C5D" w:rsidRDefault="00E22F17" w:rsidP="00E22F17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636C5D">
        <w:rPr>
          <w:rFonts w:ascii="ＭＳ ゴシック" w:eastAsia="ＭＳ ゴシック" w:hAnsi="ＭＳ ゴシック" w:cs="Times New Roman" w:hint="eastAsia"/>
          <w:sz w:val="24"/>
          <w:szCs w:val="24"/>
        </w:rPr>
        <w:t>１　授業づくり</w:t>
      </w:r>
    </w:p>
    <w:p w:rsidR="00E22F17" w:rsidRPr="00636C5D" w:rsidRDefault="00E22F17" w:rsidP="00E22F17">
      <w:pPr>
        <w:spacing w:line="280" w:lineRule="exact"/>
        <w:ind w:firstLineChars="100" w:firstLine="220"/>
        <w:jc w:val="left"/>
        <w:rPr>
          <w:rFonts w:ascii="ＭＳ ゴシック" w:eastAsia="ＭＳ ゴシック" w:hAnsi="ＭＳ ゴシック" w:cs="Times New Roman"/>
          <w:sz w:val="22"/>
        </w:rPr>
      </w:pPr>
      <w:r w:rsidRPr="00636C5D">
        <w:rPr>
          <w:rFonts w:ascii="ＭＳ ゴシック" w:eastAsia="ＭＳ ゴシック" w:hAnsi="ＭＳ ゴシック" w:cs="Times New Roman" w:hint="eastAsia"/>
          <w:sz w:val="22"/>
        </w:rPr>
        <w:t>⑴　現状・課題（</w:t>
      </w:r>
      <w:r w:rsidRPr="00636C5D">
        <w:rPr>
          <w:rFonts w:ascii="ＭＳ ゴシック" w:eastAsia="ＭＳ ゴシック" w:hAnsi="ＭＳ ゴシック" w:cs="Times New Roman" w:hint="eastAsia"/>
          <w:color w:val="FFFFFF"/>
          <w:sz w:val="22"/>
          <w:highlight w:val="black"/>
        </w:rPr>
        <w:t>Ｒ</w:t>
      </w:r>
      <w:r w:rsidRPr="00636C5D">
        <w:rPr>
          <w:rFonts w:ascii="ＭＳ ゴシック" w:eastAsia="ＭＳ ゴシック" w:hAnsi="ＭＳ ゴシック" w:cs="Times New Roman" w:hint="eastAsia"/>
          <w:sz w:val="22"/>
        </w:rPr>
        <w:t>）</w:t>
      </w:r>
    </w:p>
    <w:tbl>
      <w:tblPr>
        <w:tblStyle w:val="1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03"/>
        <w:gridCol w:w="7513"/>
      </w:tblGrid>
      <w:tr w:rsidR="00E22F17" w:rsidRPr="00636C5D" w:rsidTr="003C634A">
        <w:trPr>
          <w:cantSplit/>
          <w:trHeight w:hRule="exact" w:val="284"/>
        </w:trPr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17" w:rsidRPr="00636C5D" w:rsidRDefault="00E22F17" w:rsidP="00910282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36C5D">
              <w:rPr>
                <w:rFonts w:ascii="ＭＳ ゴシック" w:eastAsia="ＭＳ ゴシック" w:hAnsi="ＭＳ ゴシック" w:cs="Times New Roman" w:hint="eastAsia"/>
                <w:szCs w:val="21"/>
              </w:rPr>
              <w:t>課題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2F17" w:rsidRPr="00636C5D" w:rsidRDefault="00E22F17" w:rsidP="00910282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36C5D">
              <w:rPr>
                <w:rFonts w:ascii="ＭＳ ゴシック" w:eastAsia="ＭＳ ゴシック" w:hAnsi="ＭＳ ゴシック" w:cs="Times New Roman" w:hint="eastAsia"/>
                <w:szCs w:val="21"/>
              </w:rPr>
              <w:t>現状（科学的データ）</w:t>
            </w:r>
          </w:p>
        </w:tc>
      </w:tr>
      <w:tr w:rsidR="00E22F17" w:rsidRPr="00636C5D" w:rsidTr="003C634A">
        <w:trPr>
          <w:cantSplit/>
          <w:trHeight w:val="802"/>
        </w:trPr>
        <w:tc>
          <w:tcPr>
            <w:tcW w:w="20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2F17" w:rsidRPr="00306734" w:rsidRDefault="006E1DEF" w:rsidP="00306734">
            <w:pPr>
              <w:spacing w:line="240" w:lineRule="exac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・時間内に文章及びその内容を読み取る力が不足しているため、問題を解く意欲が続かない。だから解けない。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22F17" w:rsidRPr="003C634A" w:rsidRDefault="00306734" w:rsidP="00910282">
            <w:pPr>
              <w:spacing w:line="240" w:lineRule="exac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  <w:r w:rsidRPr="003C634A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・</w:t>
            </w:r>
            <w:r w:rsidR="00B60B68" w:rsidRPr="003C634A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国語科</w:t>
            </w:r>
            <w:r w:rsidR="006E1DEF" w:rsidRPr="003C634A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評価問題</w:t>
            </w:r>
            <w:r w:rsidR="006E1DEF" w:rsidRPr="003C634A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  <w:bdr w:val="single" w:sz="4" w:space="0" w:color="auto"/>
              </w:rPr>
              <w:t>３</w:t>
            </w:r>
            <w:r w:rsidR="00B60B68" w:rsidRPr="003C634A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三…正答率12.8％（無回答20.5％）「</w:t>
            </w:r>
            <w:r w:rsidR="006E1DEF" w:rsidRPr="003C634A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店長の発言を受ける</w:t>
            </w:r>
            <w:r w:rsidR="00B60B68" w:rsidRPr="003C634A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」</w:t>
            </w:r>
            <w:r w:rsidR="006E1DEF" w:rsidRPr="003C634A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ということ</w:t>
            </w:r>
            <w:r w:rsidR="003C634A" w:rsidRPr="003C634A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は、</w:t>
            </w:r>
            <w:r w:rsidR="00B60B68" w:rsidRPr="003C634A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どう書けばよいのか</w:t>
            </w:r>
            <w:r w:rsidR="006E1DEF" w:rsidRPr="003C634A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理解していない。</w:t>
            </w:r>
            <w:r w:rsidR="003C634A" w:rsidRPr="003C634A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そのため</w:t>
            </w:r>
            <w:r w:rsidR="00B60B68" w:rsidRPr="003C634A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無回答も多い。</w:t>
            </w:r>
          </w:p>
          <w:p w:rsidR="00B60B68" w:rsidRPr="00636C5D" w:rsidRDefault="00B60B68" w:rsidP="00910282">
            <w:pPr>
              <w:spacing w:line="240" w:lineRule="exac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3C634A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・算数科評価問題</w:t>
            </w:r>
            <w:r w:rsidRPr="003C634A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  <w:bdr w:val="single" w:sz="4" w:space="0" w:color="auto"/>
              </w:rPr>
              <w:t>７</w:t>
            </w:r>
            <w:r w:rsidRPr="003C634A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…正答率21.1％（無回答率21.1％）</w:t>
            </w:r>
            <w:r w:rsidR="003C634A" w:rsidRPr="003C634A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「気温の差」に着目しなければいけない問題であるが、グラフの形に着目しているため題意にそった解答ではない。また、無回答も多い。</w:t>
            </w:r>
          </w:p>
          <w:p w:rsidR="00E22F17" w:rsidRDefault="00E22F17" w:rsidP="00910282">
            <w:pPr>
              <w:spacing w:line="240" w:lineRule="exac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36C5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[要因]</w:t>
            </w:r>
          </w:p>
          <w:p w:rsidR="006E1DEF" w:rsidRDefault="006E1DEF" w:rsidP="00910282">
            <w:pPr>
              <w:spacing w:line="240" w:lineRule="exac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FF0000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8D3BAB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普段の</w:t>
            </w:r>
            <w:r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記述内容が</w:t>
            </w:r>
            <w:r w:rsidRPr="00636C5D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適切で</w:t>
            </w:r>
            <w:r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はない児童への手立てが不足している。</w:t>
            </w:r>
          </w:p>
          <w:p w:rsidR="006E1DEF" w:rsidRPr="00636C5D" w:rsidRDefault="006E1DEF" w:rsidP="00910282">
            <w:pPr>
              <w:spacing w:line="240" w:lineRule="exac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FF0000"/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語彙力、読解力が身についていない。</w:t>
            </w:r>
          </w:p>
          <w:p w:rsidR="00E22F17" w:rsidRDefault="003C634A" w:rsidP="007C09D5">
            <w:pPr>
              <w:spacing w:line="240" w:lineRule="exac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FF0000"/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944EEC" w:rsidRPr="00944EEC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「</w:t>
            </w:r>
            <w:r w:rsidR="00944EEC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どうせわからんから」と</w:t>
            </w:r>
            <w:r w:rsidR="00306734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学びに向かう気持ちが継続しない児童がいる</w:t>
            </w:r>
            <w:r w:rsidR="00306734" w:rsidRPr="00636C5D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。</w:t>
            </w:r>
          </w:p>
          <w:p w:rsidR="008A43F9" w:rsidRPr="00A20A9D" w:rsidRDefault="003C634A" w:rsidP="003C634A">
            <w:pPr>
              <w:spacing w:line="240" w:lineRule="exac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FF0000"/>
                <w:szCs w:val="21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A20A9D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問題の後半で、無解答が増えている。</w:t>
            </w:r>
            <w:r w:rsidR="00B60B68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（通過率が３０％以下の児童に無回答が多い。）</w:t>
            </w:r>
          </w:p>
        </w:tc>
      </w:tr>
    </w:tbl>
    <w:p w:rsidR="00E22F17" w:rsidRPr="00636C5D" w:rsidRDefault="00E22F17" w:rsidP="00E22F17">
      <w:pPr>
        <w:spacing w:line="240" w:lineRule="exact"/>
        <w:jc w:val="left"/>
        <w:rPr>
          <w:rFonts w:ascii="ＭＳ ゴシック" w:eastAsia="ＭＳ ゴシック" w:hAnsi="ＭＳ ゴシック" w:cs="Times New Roman"/>
          <w:color w:val="000000"/>
          <w:szCs w:val="21"/>
        </w:rPr>
      </w:pPr>
    </w:p>
    <w:p w:rsidR="00E22F17" w:rsidRPr="00636C5D" w:rsidRDefault="00E22F17" w:rsidP="00E22F17">
      <w:pPr>
        <w:spacing w:line="260" w:lineRule="exact"/>
        <w:ind w:firstLineChars="100" w:firstLine="220"/>
        <w:jc w:val="left"/>
        <w:rPr>
          <w:rFonts w:ascii="ＭＳ ゴシック" w:eastAsia="ＭＳ ゴシック" w:hAnsi="ＭＳ ゴシック" w:cs="Times New Roman"/>
          <w:color w:val="000000"/>
          <w:sz w:val="22"/>
        </w:rPr>
      </w:pPr>
      <w:r w:rsidRPr="00636C5D">
        <w:rPr>
          <w:rFonts w:ascii="ＭＳ ゴシック" w:eastAsia="ＭＳ ゴシック" w:hAnsi="ＭＳ ゴシック" w:cs="Times New Roman" w:hint="eastAsia"/>
          <w:color w:val="000000"/>
          <w:sz w:val="22"/>
        </w:rPr>
        <w:t>⑵　計画と実行</w:t>
      </w:r>
      <w:r w:rsidRPr="00636C5D">
        <w:rPr>
          <w:rFonts w:ascii="ＭＳ ゴシック" w:eastAsia="ＭＳ ゴシック" w:hAnsi="ＭＳ ゴシック" w:cs="Times New Roman" w:hint="eastAsia"/>
          <w:sz w:val="22"/>
        </w:rPr>
        <w:t>（</w:t>
      </w:r>
      <w:r w:rsidRPr="00636C5D">
        <w:rPr>
          <w:rFonts w:ascii="ＭＳ ゴシック" w:eastAsia="ＭＳ ゴシック" w:hAnsi="ＭＳ ゴシック" w:cs="Times New Roman" w:hint="eastAsia"/>
          <w:color w:val="FFFFFF"/>
          <w:sz w:val="22"/>
          <w:highlight w:val="black"/>
        </w:rPr>
        <w:t>Ｐ</w:t>
      </w:r>
      <w:r w:rsidRPr="00636C5D">
        <w:rPr>
          <w:rFonts w:ascii="ＭＳ ゴシック" w:eastAsia="ＭＳ ゴシック" w:hAnsi="ＭＳ ゴシック" w:cs="Times New Roman" w:hint="eastAsia"/>
          <w:sz w:val="22"/>
        </w:rPr>
        <w:t>・</w:t>
      </w:r>
      <w:r w:rsidRPr="00636C5D">
        <w:rPr>
          <w:rFonts w:ascii="ＭＳ ゴシック" w:eastAsia="ＭＳ ゴシック" w:hAnsi="ＭＳ ゴシック" w:cs="Times New Roman" w:hint="eastAsia"/>
          <w:color w:val="FFFFFF"/>
          <w:sz w:val="22"/>
          <w:highlight w:val="black"/>
        </w:rPr>
        <w:t>Ｄ</w:t>
      </w:r>
      <w:r w:rsidRPr="00636C5D">
        <w:rPr>
          <w:rFonts w:ascii="ＭＳ ゴシック" w:eastAsia="ＭＳ ゴシック" w:hAnsi="ＭＳ ゴシック" w:cs="Times New Roman" w:hint="eastAsia"/>
          <w:sz w:val="22"/>
        </w:rPr>
        <w:t xml:space="preserve">）　</w:t>
      </w:r>
      <w:r w:rsidRPr="00636C5D">
        <w:rPr>
          <w:rFonts w:ascii="ＭＳ ゴシック" w:eastAsia="ＭＳ ゴシック" w:hAnsi="ＭＳ ゴシック" w:cs="Times New Roman" w:hint="eastAsia"/>
          <w:color w:val="000000"/>
          <w:sz w:val="22"/>
        </w:rPr>
        <w:t xml:space="preserve">　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003"/>
        <w:gridCol w:w="5954"/>
        <w:gridCol w:w="1559"/>
      </w:tblGrid>
      <w:tr w:rsidR="00E22F17" w:rsidRPr="00636C5D" w:rsidTr="004B0324">
        <w:trPr>
          <w:cantSplit/>
          <w:trHeight w:hRule="exact" w:val="284"/>
        </w:trPr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17" w:rsidRPr="00636C5D" w:rsidRDefault="00A20A9D" w:rsidP="00910282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後</w:t>
            </w:r>
            <w:r w:rsidR="00E22F17" w:rsidRPr="00636C5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期目標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2F17" w:rsidRPr="00636C5D" w:rsidRDefault="00E22F17" w:rsidP="00910282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36C5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具体的取組</w:t>
            </w:r>
          </w:p>
        </w:tc>
      </w:tr>
      <w:tr w:rsidR="00E22F17" w:rsidRPr="00636C5D" w:rsidTr="004B0324">
        <w:trPr>
          <w:cantSplit/>
          <w:trHeight w:val="1493"/>
        </w:trPr>
        <w:tc>
          <w:tcPr>
            <w:tcW w:w="2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2F17" w:rsidRPr="00636C5D" w:rsidRDefault="00B54BDD" w:rsidP="007D4D95">
            <w:pPr>
              <w:spacing w:line="240" w:lineRule="exact"/>
              <w:ind w:left="210" w:rightChars="80" w:right="168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・</w:t>
            </w:r>
            <w:r w:rsidR="00A20A9D" w:rsidRPr="008A43F9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最後まで</w:t>
            </w:r>
            <w:r w:rsidR="001E158B" w:rsidRPr="008A43F9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「読もう</w:t>
            </w:r>
            <w:r w:rsidR="007D4D95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」</w:t>
            </w:r>
            <w:r w:rsidR="001E158B" w:rsidRPr="008A43F9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「聴こう」「</w:t>
            </w:r>
            <w:r w:rsidR="00A20A9D" w:rsidRPr="008A43F9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解こう</w:t>
            </w:r>
            <w:r w:rsidR="001E158B" w:rsidRPr="008A43F9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」</w:t>
            </w:r>
            <w:r w:rsidR="00A20A9D" w:rsidRPr="008A43F9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とする</w:t>
            </w:r>
            <w:r w:rsidR="007D4D95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意欲をも</w:t>
            </w:r>
            <w:r w:rsidR="001E158B" w:rsidRPr="008A43F9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たせる。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7FE1" w:rsidRDefault="008D3BAB" w:rsidP="008D3BAB">
            <w:pPr>
              <w:spacing w:line="240" w:lineRule="exact"/>
              <w:ind w:left="210" w:rightChars="-61" w:right="-128" w:hangingChars="100" w:hanging="210"/>
              <w:jc w:val="left"/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・学び合う必要性のある学習課題の設定に努める。</w:t>
            </w:r>
          </w:p>
          <w:p w:rsidR="00555B49" w:rsidRDefault="001324BD" w:rsidP="00555B49">
            <w:pPr>
              <w:spacing w:line="240" w:lineRule="exact"/>
              <w:ind w:left="210" w:rightChars="-61" w:right="-128" w:hangingChars="100" w:hanging="210"/>
              <w:jc w:val="left"/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・</w:t>
            </w:r>
            <w:r w:rsidR="00555B49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ペアやグループ活動で、ノートにラインをひいたりホワイトボードを使ったりして、</w:t>
            </w:r>
            <w:r w:rsidR="004B0324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児童同士で</w:t>
            </w:r>
            <w:r w:rsidR="00555B49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わからないところを聴けるようにする。（聴き方のスキルUP）</w:t>
            </w:r>
          </w:p>
          <w:p w:rsidR="00F2050E" w:rsidRDefault="00F2050E" w:rsidP="00910282">
            <w:pPr>
              <w:spacing w:line="240" w:lineRule="exact"/>
              <w:ind w:left="210" w:rightChars="-61" w:right="-128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・言葉の意味を問い返し</w:t>
            </w:r>
            <w:r w:rsidR="008F47DC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、関わり合わせることで</w:t>
            </w:r>
            <w:r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語彙力を増やしていく。</w:t>
            </w:r>
          </w:p>
          <w:p w:rsidR="00E22F17" w:rsidRDefault="001E158B" w:rsidP="001E158B">
            <w:pPr>
              <w:spacing w:line="240" w:lineRule="exact"/>
              <w:ind w:left="210" w:rightChars="-61" w:right="-128" w:hangingChars="100" w:hanging="210"/>
              <w:jc w:val="left"/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・</w:t>
            </w:r>
            <w:r w:rsidR="00E22F17" w:rsidRPr="007C09D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「聴く」・「話す」ルールを徹底する。</w:t>
            </w:r>
            <w:r w:rsidR="008D3BAB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（声の大きさ、指さし等）</w:t>
            </w:r>
          </w:p>
          <w:p w:rsidR="004B0324" w:rsidRPr="001E158B" w:rsidRDefault="004B0324" w:rsidP="001E158B">
            <w:pPr>
              <w:spacing w:line="240" w:lineRule="exact"/>
              <w:ind w:left="210" w:rightChars="-61" w:right="-128" w:hangingChars="100" w:hanging="210"/>
              <w:jc w:val="left"/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</w:pPr>
            <w:r w:rsidRPr="004B0324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・</w:t>
            </w:r>
            <w:r w:rsidRPr="00636C5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「Let</w:t>
            </w:r>
            <w:r w:rsidRPr="00636C5D"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  <w:t>’</w:t>
            </w:r>
            <w:r w:rsidRPr="00636C5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s　Try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」（</w:t>
            </w:r>
            <w:r w:rsidRPr="00636C5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用語、既習内容、資料の見方・考え方、児童の考えの手がかりを示すもの）」の活用を</w:t>
            </w:r>
            <w:r w:rsidRPr="004B0324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継続する</w:t>
            </w:r>
            <w:r w:rsidRPr="004B0324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。</w:t>
            </w:r>
          </w:p>
        </w:tc>
      </w:tr>
      <w:tr w:rsidR="00E22F17" w:rsidRPr="00636C5D" w:rsidTr="004B0324">
        <w:trPr>
          <w:cantSplit/>
          <w:trHeight w:val="235"/>
        </w:trPr>
        <w:tc>
          <w:tcPr>
            <w:tcW w:w="79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17" w:rsidRPr="00636C5D" w:rsidRDefault="00E22F17" w:rsidP="00910282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36C5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評価項目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2F17" w:rsidRPr="00636C5D" w:rsidRDefault="00E22F17" w:rsidP="00910282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36C5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評価</w:t>
            </w:r>
          </w:p>
          <w:p w:rsidR="00E22F17" w:rsidRPr="00636C5D" w:rsidRDefault="00E22F17" w:rsidP="00910282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36C5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（結果）</w:t>
            </w:r>
          </w:p>
        </w:tc>
      </w:tr>
      <w:tr w:rsidR="00E22F17" w:rsidRPr="00636C5D" w:rsidTr="004B0324">
        <w:trPr>
          <w:cantSplit/>
          <w:trHeight w:val="481"/>
        </w:trPr>
        <w:tc>
          <w:tcPr>
            <w:tcW w:w="79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2F17" w:rsidRPr="00636C5D" w:rsidRDefault="00E22F17" w:rsidP="00910282">
            <w:pPr>
              <w:spacing w:line="240" w:lineRule="exac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36C5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・</w:t>
            </w:r>
            <w:r w:rsidRPr="0055523E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授業の終</w:t>
            </w:r>
            <w:r w:rsidR="0055523E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わりに課題に対しての考えを適切に書いている児童の割合。（</w:t>
            </w:r>
            <w:r w:rsidRPr="0055523E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７０％）</w:t>
            </w:r>
          </w:p>
          <w:p w:rsidR="00E22F17" w:rsidRPr="00636C5D" w:rsidRDefault="00E22F17" w:rsidP="00910282">
            <w:pPr>
              <w:spacing w:line="240" w:lineRule="exact"/>
              <w:ind w:left="210" w:rightChars="-54" w:right="-113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36C5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・児童アンケートで「自分の考えを書くことができる。」に</w:t>
            </w:r>
            <w:r w:rsidRPr="00B54BDD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A「よくあてはまる」と回答した児童の割合。</w:t>
            </w:r>
            <w:r w:rsidR="00B54BD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（</w:t>
            </w:r>
            <w:r w:rsidR="008F47DC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70％</w:t>
            </w:r>
            <w:r w:rsidR="0055523E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…</w:t>
            </w:r>
            <w:r w:rsidR="0055523E" w:rsidRPr="0042122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中期</w:t>
            </w:r>
            <w:r w:rsidR="0042122C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「よくあてはまる」</w:t>
            </w:r>
            <w:r w:rsidR="0042122C" w:rsidRPr="0042122C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60.3</w:t>
            </w:r>
            <w:r w:rsidRPr="0042122C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％</w:t>
            </w:r>
            <w:r w:rsidRPr="00636C5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）</w:t>
            </w:r>
          </w:p>
          <w:p w:rsidR="00E22F17" w:rsidRPr="00636C5D" w:rsidRDefault="00E22F17" w:rsidP="00CA211A">
            <w:pPr>
              <w:spacing w:line="240" w:lineRule="exac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36C5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・</w:t>
            </w:r>
            <w:r w:rsidR="00CA211A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ノート検証の結果、自分の考えを</w:t>
            </w:r>
            <w:r w:rsidR="00CA211A" w:rsidRPr="00CA211A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説明できるように</w:t>
            </w:r>
            <w:r w:rsidR="00CA211A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書いている児童の割合。（</w:t>
            </w:r>
            <w:r w:rsidR="00CA211A" w:rsidRPr="00CA211A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70</w:t>
            </w:r>
            <w:r w:rsidRPr="00CA211A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％</w:t>
            </w:r>
            <w:r w:rsidR="00CA211A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…中期「自分の考えを書いている</w:t>
            </w:r>
            <w:r w:rsidR="00C8017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児童の</w:t>
            </w:r>
            <w:r w:rsidR="00CA211A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割合」</w:t>
            </w:r>
            <w:r w:rsidR="0041224C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69.1</w:t>
            </w:r>
            <w:r w:rsidR="00F732DD" w:rsidRPr="00F732DD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％</w:t>
            </w:r>
            <w:r w:rsidRPr="00636C5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22F17" w:rsidRPr="00636C5D" w:rsidRDefault="00E22F17" w:rsidP="00910282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</w:tbl>
    <w:p w:rsidR="00E22F17" w:rsidRPr="00636C5D" w:rsidRDefault="00E22F17" w:rsidP="00E22F17">
      <w:pPr>
        <w:spacing w:line="240" w:lineRule="exact"/>
        <w:rPr>
          <w:rFonts w:ascii="ＭＳ ゴシック" w:eastAsia="ＭＳ ゴシック" w:hAnsi="ＭＳ ゴシック" w:cs="Times New Roman"/>
          <w:color w:val="000000"/>
          <w:szCs w:val="21"/>
        </w:rPr>
      </w:pPr>
      <w:r w:rsidRPr="00636C5D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　　　　　　　　　　　　　　　　　　　　　　　　　　　　　　　　　　　　</w:t>
      </w:r>
    </w:p>
    <w:p w:rsidR="00E22F17" w:rsidRPr="00636C5D" w:rsidRDefault="00E22F17" w:rsidP="00E22F17">
      <w:pPr>
        <w:spacing w:line="260" w:lineRule="exact"/>
        <w:ind w:firstLineChars="100" w:firstLine="220"/>
        <w:jc w:val="left"/>
        <w:rPr>
          <w:rFonts w:ascii="ＭＳ ゴシック" w:eastAsia="ＭＳ ゴシック" w:hAnsi="ＭＳ ゴシック" w:cs="Times New Roman"/>
          <w:color w:val="000000"/>
          <w:sz w:val="22"/>
        </w:rPr>
      </w:pPr>
      <w:r w:rsidRPr="00636C5D">
        <w:rPr>
          <w:rFonts w:ascii="ＭＳ ゴシック" w:eastAsia="ＭＳ ゴシック" w:hAnsi="ＭＳ ゴシック" w:cs="Times New Roman" w:hint="eastAsia"/>
          <w:color w:val="000000"/>
          <w:sz w:val="22"/>
        </w:rPr>
        <w:t>⑶　検証と改善策</w:t>
      </w:r>
      <w:r w:rsidRPr="00636C5D">
        <w:rPr>
          <w:rFonts w:ascii="ＭＳ ゴシック" w:eastAsia="ＭＳ ゴシック" w:hAnsi="ＭＳ ゴシック" w:cs="Times New Roman" w:hint="eastAsia"/>
          <w:sz w:val="22"/>
        </w:rPr>
        <w:t>（</w:t>
      </w:r>
      <w:r w:rsidRPr="00636C5D">
        <w:rPr>
          <w:rFonts w:ascii="ＭＳ ゴシック" w:eastAsia="ＭＳ ゴシック" w:hAnsi="ＭＳ ゴシック" w:cs="Times New Roman" w:hint="eastAsia"/>
          <w:color w:val="FFFFFF"/>
          <w:sz w:val="22"/>
          <w:highlight w:val="black"/>
        </w:rPr>
        <w:t>Ｃ</w:t>
      </w:r>
      <w:r w:rsidRPr="00636C5D">
        <w:rPr>
          <w:rFonts w:ascii="ＭＳ ゴシック" w:eastAsia="ＭＳ ゴシック" w:hAnsi="ＭＳ ゴシック" w:cs="Times New Roman" w:hint="eastAsia"/>
          <w:sz w:val="22"/>
        </w:rPr>
        <w:t>・</w:t>
      </w:r>
      <w:r w:rsidRPr="00636C5D">
        <w:rPr>
          <w:rFonts w:ascii="ＭＳ ゴシック" w:eastAsia="ＭＳ ゴシック" w:hAnsi="ＭＳ ゴシック" w:cs="Times New Roman" w:hint="eastAsia"/>
          <w:color w:val="FFFFFF"/>
          <w:sz w:val="22"/>
          <w:highlight w:val="black"/>
        </w:rPr>
        <w:t>Ａ</w:t>
      </w:r>
      <w:r w:rsidRPr="00636C5D">
        <w:rPr>
          <w:rFonts w:ascii="ＭＳ ゴシック" w:eastAsia="ＭＳ ゴシック" w:hAnsi="ＭＳ ゴシック" w:cs="Times New Roman" w:hint="eastAsia"/>
          <w:sz w:val="22"/>
        </w:rPr>
        <w:t>）</w:t>
      </w:r>
    </w:p>
    <w:tbl>
      <w:tblPr>
        <w:tblStyle w:val="1"/>
        <w:tblW w:w="9497" w:type="dxa"/>
        <w:tblInd w:w="269" w:type="dxa"/>
        <w:tblLook w:val="04A0" w:firstRow="1" w:lastRow="0" w:firstColumn="1" w:lastColumn="0" w:noHBand="0" w:noVBand="1"/>
      </w:tblPr>
      <w:tblGrid>
        <w:gridCol w:w="426"/>
        <w:gridCol w:w="3685"/>
        <w:gridCol w:w="708"/>
        <w:gridCol w:w="4678"/>
      </w:tblGrid>
      <w:tr w:rsidR="00E22F17" w:rsidRPr="00636C5D" w:rsidTr="004B0324">
        <w:trPr>
          <w:trHeight w:hRule="exact" w:val="28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17" w:rsidRPr="00636C5D" w:rsidRDefault="00E22F17" w:rsidP="00910282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36C5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月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17" w:rsidRPr="00636C5D" w:rsidRDefault="00E22F17" w:rsidP="00910282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36C5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評価項目（誰が，いつ）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17" w:rsidRPr="00636C5D" w:rsidRDefault="00E22F17" w:rsidP="00910282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36C5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結果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2F17" w:rsidRPr="00636C5D" w:rsidRDefault="00E22F17" w:rsidP="00910282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36C5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改善策</w:t>
            </w:r>
          </w:p>
        </w:tc>
      </w:tr>
      <w:tr w:rsidR="00E22F17" w:rsidRPr="00636C5D" w:rsidTr="004B0324">
        <w:trPr>
          <w:cantSplit/>
          <w:trHeight w:val="85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22F17" w:rsidRPr="00636C5D" w:rsidRDefault="001E158B" w:rsidP="00910282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１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11A" w:rsidRDefault="00CA211A" w:rsidP="00910282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□適用問題達成率（月２回）</w:t>
            </w:r>
          </w:p>
          <w:p w:rsidR="00E22F17" w:rsidRDefault="00CA211A" w:rsidP="00910282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36C5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□ノート検証（体制、第３週）</w:t>
            </w:r>
          </w:p>
          <w:p w:rsidR="00CA211A" w:rsidRPr="00636C5D" w:rsidRDefault="00CA211A" w:rsidP="00910282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632" w:rsidRPr="00636C5D" w:rsidRDefault="005C4632" w:rsidP="00910282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C4632" w:rsidRPr="00636C5D" w:rsidRDefault="005C4632" w:rsidP="00123884">
            <w:pPr>
              <w:spacing w:line="240" w:lineRule="exac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E22F17" w:rsidRPr="00636C5D" w:rsidTr="004B0324">
        <w:trPr>
          <w:cantSplit/>
          <w:trHeight w:val="851"/>
        </w:trPr>
        <w:tc>
          <w:tcPr>
            <w:tcW w:w="4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2F17" w:rsidRPr="00636C5D" w:rsidRDefault="001E158B" w:rsidP="00910282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２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CA211A" w:rsidRDefault="00CA211A" w:rsidP="00910282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□適用問題達成率（月２回）</w:t>
            </w:r>
          </w:p>
          <w:p w:rsidR="00E22F17" w:rsidRDefault="00CA211A" w:rsidP="00910282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36C5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□ノート検証（体制、第３週）</w:t>
            </w:r>
          </w:p>
          <w:p w:rsidR="00CA211A" w:rsidRPr="00636C5D" w:rsidRDefault="00CA211A" w:rsidP="000527E7">
            <w:pPr>
              <w:spacing w:line="240" w:lineRule="exact"/>
              <w:ind w:rightChars="-117" w:right="-246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□</w:t>
            </w:r>
            <w:r w:rsidR="000527E7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基礎学、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県評価問題</w:t>
            </w:r>
            <w:r w:rsidR="000527E7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Ⅱ（3年、5年）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5C4632" w:rsidRPr="00636C5D" w:rsidRDefault="005C4632" w:rsidP="00910282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22F17" w:rsidRPr="00636C5D" w:rsidRDefault="00E22F17" w:rsidP="005C4632">
            <w:pPr>
              <w:spacing w:line="240" w:lineRule="exac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E22F17" w:rsidRPr="00636C5D" w:rsidTr="004B0324">
        <w:trPr>
          <w:cantSplit/>
          <w:trHeight w:val="851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F17" w:rsidRPr="00636C5D" w:rsidRDefault="001E158B" w:rsidP="00910282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３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11A" w:rsidRDefault="00CA211A" w:rsidP="00910282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□適用問題達成率（月１回）</w:t>
            </w:r>
          </w:p>
          <w:p w:rsidR="00E22F17" w:rsidRDefault="00CA211A" w:rsidP="00910282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36C5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□ノート検証（体制、第３週）</w:t>
            </w:r>
          </w:p>
          <w:p w:rsidR="000527E7" w:rsidRPr="00636C5D" w:rsidRDefault="000527E7" w:rsidP="00910282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36C5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□児童アンケート（体制、第２週）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F17" w:rsidRPr="00636C5D" w:rsidRDefault="00E22F17" w:rsidP="00910282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22F17" w:rsidRPr="00636C5D" w:rsidRDefault="00E22F17" w:rsidP="00910282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</w:tbl>
    <w:p w:rsidR="00E22F17" w:rsidRPr="00636C5D" w:rsidRDefault="00E22F17" w:rsidP="00E22F17">
      <w:pPr>
        <w:spacing w:line="240" w:lineRule="exact"/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</w:pPr>
    </w:p>
    <w:p w:rsidR="00E22F17" w:rsidRPr="00636C5D" w:rsidRDefault="00E22F17" w:rsidP="00E22F17">
      <w:pPr>
        <w:spacing w:line="240" w:lineRule="exac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636C5D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２　基盤づくり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003"/>
        <w:gridCol w:w="6237"/>
        <w:gridCol w:w="1276"/>
      </w:tblGrid>
      <w:tr w:rsidR="00E22F17" w:rsidRPr="00636C5D" w:rsidTr="004B0324">
        <w:trPr>
          <w:cantSplit/>
          <w:trHeight w:val="177"/>
        </w:trPr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17" w:rsidRPr="00636C5D" w:rsidRDefault="001E158B" w:rsidP="00910282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後</w:t>
            </w:r>
            <w:r w:rsidR="00E22F17" w:rsidRPr="00636C5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期目標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17" w:rsidRPr="00636C5D" w:rsidRDefault="00E22F17" w:rsidP="00910282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36C5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具体的取組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2F17" w:rsidRPr="00636C5D" w:rsidRDefault="00E22F17" w:rsidP="00910282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36C5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評価</w:t>
            </w:r>
          </w:p>
        </w:tc>
      </w:tr>
      <w:tr w:rsidR="00E22F17" w:rsidRPr="00636C5D" w:rsidTr="004B0324">
        <w:trPr>
          <w:cantSplit/>
          <w:trHeight w:val="1268"/>
        </w:trPr>
        <w:tc>
          <w:tcPr>
            <w:tcW w:w="20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2F17" w:rsidRPr="00636C5D" w:rsidRDefault="00E22F17" w:rsidP="00910282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36C5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・条件に沿って自</w:t>
            </w:r>
          </w:p>
          <w:p w:rsidR="00E22F17" w:rsidRPr="00636C5D" w:rsidRDefault="00E22F17" w:rsidP="00910282">
            <w:pPr>
              <w:spacing w:line="240" w:lineRule="exact"/>
              <w:ind w:leftChars="100" w:left="210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36C5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分の考えを書くことができる。</w:t>
            </w:r>
          </w:p>
          <w:p w:rsidR="00E22F17" w:rsidRPr="00636C5D" w:rsidRDefault="00E22F17" w:rsidP="00910282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36C5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・</w:t>
            </w:r>
            <w:r w:rsidRPr="00B54BDD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話をする人の方を見て、聴く。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2F17" w:rsidRPr="00636C5D" w:rsidRDefault="0055523E" w:rsidP="000527E7">
            <w:pPr>
              <w:spacing w:line="240" w:lineRule="exact"/>
              <w:ind w:left="210" w:rightChars="-117" w:right="-246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・「</w:t>
            </w:r>
            <w:r w:rsidRPr="0055523E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系統性をもたせた</w:t>
            </w:r>
            <w:r w:rsidR="00B54BD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短作文の取組」を</w:t>
            </w:r>
            <w:r w:rsidR="00E22F17" w:rsidRPr="00636C5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する。（月に１回検証）</w:t>
            </w:r>
          </w:p>
          <w:p w:rsidR="00AA273B" w:rsidRDefault="00E22F17" w:rsidP="00AA273B">
            <w:pPr>
              <w:spacing w:line="240" w:lineRule="exact"/>
              <w:ind w:left="210" w:rightChars="-117" w:right="-246" w:hangingChars="100" w:hanging="210"/>
              <w:jc w:val="left"/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  <w:r w:rsidRPr="00636C5D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・</w:t>
            </w:r>
            <w:r w:rsidRPr="00B54BDD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スタディーマナーのうち、聴くことを最重点項目として取り組む。</w:t>
            </w:r>
            <w:r w:rsidR="00AA273B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（７０％）</w:t>
            </w:r>
          </w:p>
          <w:p w:rsidR="00AA273B" w:rsidRDefault="00B54BDD" w:rsidP="00AA273B">
            <w:pPr>
              <w:spacing w:line="240" w:lineRule="exact"/>
              <w:ind w:left="210" w:rightChars="-117" w:right="-246" w:hangingChars="100" w:hanging="210"/>
              <w:jc w:val="left"/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中期</w:t>
            </w:r>
            <w:r w:rsidR="00AA273B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：A「よくあてはまる」と回答した割合</w:t>
            </w:r>
          </w:p>
          <w:p w:rsidR="00AA273B" w:rsidRDefault="00AA273B" w:rsidP="00AA273B">
            <w:pPr>
              <w:spacing w:line="240" w:lineRule="exact"/>
              <w:ind w:leftChars="100" w:left="210" w:rightChars="-117" w:right="-246" w:firstLineChars="100" w:firstLine="210"/>
              <w:jc w:val="left"/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「発表している人の方を向いて聴いている」51.9</w:t>
            </w:r>
            <w:r w:rsidR="00E22F17" w:rsidRPr="00636C5D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％</w:t>
            </w:r>
          </w:p>
          <w:p w:rsidR="00E22F17" w:rsidRPr="00AA273B" w:rsidRDefault="00AA273B" w:rsidP="00AA273B">
            <w:pPr>
              <w:spacing w:line="240" w:lineRule="exact"/>
              <w:ind w:leftChars="100" w:left="210" w:rightChars="-117" w:right="-246" w:firstLineChars="100" w:firstLine="210"/>
              <w:jc w:val="left"/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「話し合いで相手の考えを最後まで聴いた」61％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632" w:rsidRPr="00AA273B" w:rsidRDefault="005C4632" w:rsidP="00123884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5C4632" w:rsidRPr="00636C5D" w:rsidRDefault="005C4632" w:rsidP="00910282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bookmarkStart w:id="0" w:name="_GoBack"/>
        <w:bookmarkEnd w:id="0"/>
      </w:tr>
    </w:tbl>
    <w:p w:rsidR="00B60A16" w:rsidRPr="00E22F17" w:rsidRDefault="004B0324"/>
    <w:sectPr w:rsidR="00B60A16" w:rsidRPr="00E22F17" w:rsidSect="00E22F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17"/>
    <w:rsid w:val="000527E7"/>
    <w:rsid w:val="00123884"/>
    <w:rsid w:val="001324BD"/>
    <w:rsid w:val="001E158B"/>
    <w:rsid w:val="002F158D"/>
    <w:rsid w:val="00306734"/>
    <w:rsid w:val="003C634A"/>
    <w:rsid w:val="0041147D"/>
    <w:rsid w:val="0041224C"/>
    <w:rsid w:val="0042122C"/>
    <w:rsid w:val="004B0324"/>
    <w:rsid w:val="0055523E"/>
    <w:rsid w:val="00555B49"/>
    <w:rsid w:val="005C4632"/>
    <w:rsid w:val="006E1DEF"/>
    <w:rsid w:val="007C09D5"/>
    <w:rsid w:val="007D4D95"/>
    <w:rsid w:val="007D706E"/>
    <w:rsid w:val="00892C08"/>
    <w:rsid w:val="008A43F9"/>
    <w:rsid w:val="008D3BAB"/>
    <w:rsid w:val="008F47DC"/>
    <w:rsid w:val="00944EEC"/>
    <w:rsid w:val="00A20A9D"/>
    <w:rsid w:val="00A63DEE"/>
    <w:rsid w:val="00AA273B"/>
    <w:rsid w:val="00B54BDD"/>
    <w:rsid w:val="00B60B68"/>
    <w:rsid w:val="00B922BC"/>
    <w:rsid w:val="00C8017D"/>
    <w:rsid w:val="00CA211A"/>
    <w:rsid w:val="00E22F17"/>
    <w:rsid w:val="00F2050E"/>
    <w:rsid w:val="00F732DD"/>
    <w:rsid w:val="00F87FE1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5A0181"/>
  <w15:chartTrackingRefBased/>
  <w15:docId w15:val="{800157AB-D4C5-4BB7-8CB2-BC3AC394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E2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2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38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4B3DA-A14D-4D3E-A05F-7FC2190C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FUES012</dc:creator>
  <cp:keywords/>
  <dc:description/>
  <cp:lastModifiedBy>FUES012</cp:lastModifiedBy>
  <cp:revision>15</cp:revision>
  <cp:lastPrinted>2020-01-10T02:31:00Z</cp:lastPrinted>
  <dcterms:created xsi:type="dcterms:W3CDTF">2020-01-06T06:28:00Z</dcterms:created>
  <dcterms:modified xsi:type="dcterms:W3CDTF">2020-01-10T02:43:00Z</dcterms:modified>
</cp:coreProperties>
</file>